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25BB" w14:textId="2CB96D80" w:rsidR="0096708C" w:rsidRPr="003C7939" w:rsidRDefault="003C7939" w:rsidP="0096708C">
      <w:pPr>
        <w:shd w:val="clear" w:color="auto" w:fill="FFFFFF"/>
        <w:spacing w:after="0" w:line="330" w:lineRule="atLeast"/>
        <w:rPr>
          <w:rFonts w:ascii="Gentium Basic" w:eastAsia="Times New Roman" w:hAnsi="Gentium Basic" w:cs="Arial"/>
          <w:b/>
          <w:bCs/>
          <w:color w:val="333333"/>
          <w:sz w:val="24"/>
          <w:szCs w:val="24"/>
          <w:lang w:eastAsia="en-GB"/>
        </w:rPr>
      </w:pPr>
      <w:r w:rsidRPr="003C7939">
        <w:rPr>
          <w:rFonts w:ascii="Gentium Basic" w:eastAsia="Times New Roman" w:hAnsi="Gentium Basic" w:cs="Arial"/>
          <w:b/>
          <w:bCs/>
          <w:color w:val="333333"/>
          <w:sz w:val="24"/>
          <w:szCs w:val="24"/>
          <w:lang w:eastAsia="en-GB"/>
        </w:rPr>
        <w:t xml:space="preserve">AIM </w:t>
      </w:r>
      <w:r w:rsidR="0096708C" w:rsidRPr="003C7939">
        <w:rPr>
          <w:rFonts w:ascii="Gentium Basic" w:eastAsia="Times New Roman" w:hAnsi="Gentium Basic" w:cs="Arial"/>
          <w:b/>
          <w:bCs/>
          <w:color w:val="333333"/>
          <w:sz w:val="24"/>
          <w:szCs w:val="24"/>
          <w:lang w:eastAsia="en-GB"/>
        </w:rPr>
        <w:t>New Stories New Audience</w:t>
      </w:r>
    </w:p>
    <w:p w14:paraId="2E179961" w14:textId="1AE04E09" w:rsidR="0096708C" w:rsidRPr="003C7939" w:rsidRDefault="0096708C" w:rsidP="0096708C">
      <w:pPr>
        <w:shd w:val="clear" w:color="auto" w:fill="FFFFFF"/>
        <w:spacing w:after="0" w:line="330" w:lineRule="atLeast"/>
        <w:rPr>
          <w:rFonts w:ascii="Gentium Basic" w:eastAsia="Times New Roman" w:hAnsi="Gentium Basic" w:cs="Arial"/>
          <w:b/>
          <w:bCs/>
          <w:color w:val="333333"/>
          <w:sz w:val="24"/>
          <w:szCs w:val="24"/>
          <w:lang w:eastAsia="en-GB"/>
        </w:rPr>
      </w:pPr>
      <w:r w:rsidRPr="003C7939">
        <w:rPr>
          <w:rFonts w:ascii="Gentium Basic" w:eastAsia="Times New Roman" w:hAnsi="Gentium Basic" w:cs="Arial"/>
          <w:b/>
          <w:bCs/>
          <w:color w:val="333333"/>
          <w:sz w:val="24"/>
          <w:szCs w:val="24"/>
          <w:lang w:eastAsia="en-GB"/>
        </w:rPr>
        <w:t>Terms and Conditions of grants</w:t>
      </w:r>
    </w:p>
    <w:p w14:paraId="2A1E75DB" w14:textId="6D9C0A14" w:rsidR="0096708C" w:rsidRPr="003C7939" w:rsidRDefault="0096708C" w:rsidP="0096708C">
      <w:pPr>
        <w:shd w:val="clear" w:color="auto" w:fill="FFFFFF"/>
        <w:spacing w:after="0" w:line="330" w:lineRule="atLeast"/>
        <w:rPr>
          <w:rFonts w:ascii="Gentium Basic" w:eastAsia="Times New Roman" w:hAnsi="Gentium Basic" w:cs="Arial"/>
          <w:color w:val="333333"/>
          <w:sz w:val="24"/>
          <w:szCs w:val="24"/>
          <w:lang w:eastAsia="en-GB"/>
        </w:rPr>
      </w:pPr>
    </w:p>
    <w:p w14:paraId="163B91F6" w14:textId="4C1FE1D9" w:rsidR="0096708C" w:rsidRPr="003C7939"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 xml:space="preserve">You must only use the grant for the approved project. You must ask us if you want to make changes to your project. </w:t>
      </w:r>
    </w:p>
    <w:p w14:paraId="09959FCB" w14:textId="6184B63D" w:rsidR="0096708C" w:rsidRPr="003C7939"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must not start work until you have received the formal grant offer from us</w:t>
      </w:r>
    </w:p>
    <w:p w14:paraId="3B501D59" w14:textId="78D33A83" w:rsidR="0096708C" w:rsidRPr="003C7939"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will give us any progress reports or financial information we may need during the project</w:t>
      </w:r>
    </w:p>
    <w:p w14:paraId="5A78A0FC" w14:textId="6394363D" w:rsidR="0096708C" w:rsidRPr="003C7939" w:rsidRDefault="0096708C"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 xml:space="preserve">You will take part in our evaluation </w:t>
      </w:r>
    </w:p>
    <w:p w14:paraId="47F19D1F" w14:textId="31AB5FEA" w:rsidR="0096708C"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For any externally commissioned work or purchases over £10,000 you must get three quotes.</w:t>
      </w:r>
    </w:p>
    <w:p w14:paraId="168B6E13" w14:textId="55EC00B1"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will publicise your project in line with our guidance</w:t>
      </w:r>
    </w:p>
    <w:p w14:paraId="59E36DED" w14:textId="641D01B3"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If you complete the project without spending the full amount of the grant, you must return the unspent amount to us immediately. We will not increase the grant as the result of an overspend or otherwise</w:t>
      </w:r>
    </w:p>
    <w:p w14:paraId="47D71B40" w14:textId="0C7F53CA" w:rsidR="00FF4E29" w:rsidRPr="003C7939" w:rsidRDefault="00FF4E29" w:rsidP="0096708C">
      <w:pPr>
        <w:pStyle w:val="ListParagraph"/>
        <w:numPr>
          <w:ilvl w:val="0"/>
          <w:numId w:val="3"/>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must repay the grant to us if:</w:t>
      </w:r>
    </w:p>
    <w:p w14:paraId="0BBE2615" w14:textId="27121125"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no longer operate, or are declared bankrupt or placed into receivership or liquidation</w:t>
      </w:r>
    </w:p>
    <w:p w14:paraId="7B287A60" w14:textId="729534F5"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 xml:space="preserve">You have, in our opinion, given us fraudulent, </w:t>
      </w:r>
      <w:proofErr w:type="gramStart"/>
      <w:r w:rsidRPr="003C7939">
        <w:rPr>
          <w:rFonts w:ascii="Gentium Basic" w:eastAsia="Times New Roman" w:hAnsi="Gentium Basic" w:cs="Arial"/>
          <w:color w:val="333333"/>
          <w:sz w:val="24"/>
          <w:szCs w:val="24"/>
          <w:lang w:eastAsia="en-GB"/>
        </w:rPr>
        <w:t>incorrect</w:t>
      </w:r>
      <w:proofErr w:type="gramEnd"/>
      <w:r w:rsidRPr="003C7939">
        <w:rPr>
          <w:rFonts w:ascii="Gentium Basic" w:eastAsia="Times New Roman" w:hAnsi="Gentium Basic" w:cs="Arial"/>
          <w:color w:val="333333"/>
          <w:sz w:val="24"/>
          <w:szCs w:val="24"/>
          <w:lang w:eastAsia="en-GB"/>
        </w:rPr>
        <w:t xml:space="preserve"> or misleading information</w:t>
      </w:r>
    </w:p>
    <w:p w14:paraId="611D8D0B" w14:textId="6466F683"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have acted negligently in any significant matter or fraudulently in connection with the project</w:t>
      </w:r>
    </w:p>
    <w:p w14:paraId="5D0BF24E" w14:textId="10205680"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Any competent authority directs the repayment of the grant</w:t>
      </w:r>
    </w:p>
    <w:p w14:paraId="43A31DF4" w14:textId="5D836B0D"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There is a significant change in your status</w:t>
      </w:r>
    </w:p>
    <w:p w14:paraId="15AEC078" w14:textId="01BEFE32"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knowingly withhold information that is relevant to the content of your application</w:t>
      </w:r>
    </w:p>
    <w:p w14:paraId="172A77DE" w14:textId="66FC2A2C"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do or fail to do anything that brings AIM or the National Lottery into disrepute or which we consider for any reason puts public funds at risk, or we terminate or suspend any other grant we have given you.</w:t>
      </w:r>
    </w:p>
    <w:p w14:paraId="72EAB83E" w14:textId="19DAE80D"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fail to make good progress with the project or are unlikely in our view to complete the project or achieve the outcomes agreed with us or</w:t>
      </w:r>
    </w:p>
    <w:p w14:paraId="7E04EC06" w14:textId="09BCD44F" w:rsidR="00FF4E29" w:rsidRPr="003C7939" w:rsidRDefault="00FF4E29" w:rsidP="00FF4E29">
      <w:pPr>
        <w:pStyle w:val="ListParagraph"/>
        <w:numPr>
          <w:ilvl w:val="0"/>
          <w:numId w:val="4"/>
        </w:num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fail to keep any of these standard terms of grant</w:t>
      </w:r>
    </w:p>
    <w:p w14:paraId="5931DEBE" w14:textId="5D947C02" w:rsidR="00FF4E29" w:rsidRPr="003C7939" w:rsidRDefault="00FF4E29" w:rsidP="00FF4E29">
      <w:pPr>
        <w:shd w:val="clear" w:color="auto" w:fill="FFFFFF"/>
        <w:spacing w:after="0" w:line="330" w:lineRule="atLeast"/>
        <w:rPr>
          <w:rFonts w:ascii="Gentium Basic" w:eastAsia="Times New Roman" w:hAnsi="Gentium Basic" w:cs="Arial"/>
          <w:color w:val="333333"/>
          <w:sz w:val="24"/>
          <w:szCs w:val="24"/>
          <w:lang w:eastAsia="en-GB"/>
        </w:rPr>
      </w:pPr>
    </w:p>
    <w:p w14:paraId="3BF6C8A6" w14:textId="1388606D" w:rsidR="00FF4E29" w:rsidRPr="003C7939" w:rsidRDefault="00FF4E29" w:rsidP="00FF4E29">
      <w:pPr>
        <w:shd w:val="clear" w:color="auto" w:fill="FFFFFF"/>
        <w:spacing w:after="0" w:line="330" w:lineRule="atLeast"/>
        <w:rPr>
          <w:rFonts w:ascii="Gentium Basic" w:eastAsia="Times New Roman" w:hAnsi="Gentium Basic" w:cs="Arial"/>
          <w:b/>
          <w:bCs/>
          <w:color w:val="333333"/>
          <w:sz w:val="24"/>
          <w:szCs w:val="24"/>
          <w:lang w:eastAsia="en-GB"/>
        </w:rPr>
      </w:pPr>
      <w:r w:rsidRPr="003C7939">
        <w:rPr>
          <w:rFonts w:ascii="Gentium Basic" w:eastAsia="Times New Roman" w:hAnsi="Gentium Basic" w:cs="Arial"/>
          <w:b/>
          <w:bCs/>
          <w:color w:val="333333"/>
          <w:sz w:val="24"/>
          <w:szCs w:val="24"/>
          <w:lang w:eastAsia="en-GB"/>
        </w:rPr>
        <w:t>Digital outputs</w:t>
      </w:r>
    </w:p>
    <w:p w14:paraId="71E7E5B3" w14:textId="27753D02" w:rsidR="00FF4E29" w:rsidRPr="003C7939" w:rsidRDefault="00FF4E29" w:rsidP="00FF4E29">
      <w:pPr>
        <w:shd w:val="clear" w:color="auto" w:fill="FFFFFF"/>
        <w:spacing w:after="0" w:line="330" w:lineRule="atLeast"/>
        <w:rPr>
          <w:rFonts w:ascii="Gentium Basic" w:eastAsia="Times New Roman" w:hAnsi="Gentium Basic" w:cs="Arial"/>
          <w:color w:val="333333"/>
          <w:sz w:val="24"/>
          <w:szCs w:val="24"/>
          <w:lang w:eastAsia="en-GB"/>
        </w:rPr>
      </w:pPr>
    </w:p>
    <w:p w14:paraId="57B24B85" w14:textId="7BE2598D" w:rsidR="00FF4E29" w:rsidRPr="003C7939" w:rsidRDefault="00FF4E29" w:rsidP="00FF4E29">
      <w:pPr>
        <w:shd w:val="clear" w:color="auto" w:fill="FFFFFF"/>
        <w:spacing w:after="0" w:line="330" w:lineRule="atLeast"/>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You agree to:</w:t>
      </w:r>
    </w:p>
    <w:p w14:paraId="35926172" w14:textId="4BB1298E" w:rsidR="00FF4E29" w:rsidRPr="003C7939" w:rsidRDefault="00FF4E29" w:rsidP="00FF4E29">
      <w:pPr>
        <w:shd w:val="clear" w:color="auto" w:fill="FFFFFF"/>
        <w:spacing w:after="0" w:line="330" w:lineRule="atLeast"/>
        <w:rPr>
          <w:rFonts w:ascii="Gentium Basic" w:eastAsia="Times New Roman" w:hAnsi="Gentium Basic" w:cs="Arial"/>
          <w:color w:val="333333"/>
          <w:sz w:val="24"/>
          <w:szCs w:val="24"/>
          <w:lang w:eastAsia="en-GB"/>
        </w:rPr>
      </w:pPr>
    </w:p>
    <w:p w14:paraId="13E1E935" w14:textId="593464D8" w:rsidR="0096708C" w:rsidRPr="003C7939" w:rsidRDefault="0096708C" w:rsidP="0096708C">
      <w:pPr>
        <w:numPr>
          <w:ilvl w:val="0"/>
          <w:numId w:val="1"/>
        </w:numPr>
        <w:shd w:val="clear" w:color="auto" w:fill="FFFFFF"/>
        <w:spacing w:after="0"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apply a </w:t>
      </w:r>
      <w:hyperlink r:id="rId11" w:history="1">
        <w:r w:rsidRPr="003C7939">
          <w:rPr>
            <w:rFonts w:ascii="Gentium Basic" w:eastAsia="Times New Roman" w:hAnsi="Gentium Basic" w:cs="Arial"/>
            <w:color w:val="025F72"/>
            <w:sz w:val="24"/>
            <w:szCs w:val="24"/>
            <w:bdr w:val="none" w:sz="0" w:space="0" w:color="auto" w:frame="1"/>
            <w:lang w:eastAsia="en-GB"/>
          </w:rPr>
          <w:t>Creative Commons Attribution 4.0 International</w:t>
        </w:r>
      </w:hyperlink>
      <w:r w:rsidRPr="003C7939">
        <w:rPr>
          <w:rFonts w:ascii="Gentium Basic" w:eastAsia="Times New Roman" w:hAnsi="Gentium Basic" w:cs="Arial"/>
          <w:color w:val="333333"/>
          <w:sz w:val="24"/>
          <w:szCs w:val="24"/>
          <w:lang w:eastAsia="en-GB"/>
        </w:rPr>
        <w:t> (CC BY 4.0) </w:t>
      </w:r>
      <w:r w:rsidRPr="003C7939">
        <w:rPr>
          <w:rFonts w:ascii="Gentium Basic" w:eastAsia="Times New Roman" w:hAnsi="Gentium Basic" w:cs="Arial"/>
          <w:i/>
          <w:iCs/>
          <w:color w:val="333333"/>
          <w:sz w:val="24"/>
          <w:szCs w:val="24"/>
          <w:bdr w:val="none" w:sz="0" w:space="0" w:color="auto" w:frame="1"/>
          <w:lang w:eastAsia="en-GB"/>
        </w:rPr>
        <w:t>Open Licence</w:t>
      </w:r>
      <w:r w:rsidRPr="003C7939">
        <w:rPr>
          <w:rFonts w:ascii="Gentium Basic" w:eastAsia="Times New Roman" w:hAnsi="Gentium Basic" w:cs="Arial"/>
          <w:color w:val="333333"/>
          <w:sz w:val="24"/>
          <w:szCs w:val="24"/>
          <w:lang w:eastAsia="en-GB"/>
        </w:rPr>
        <w:t> or equivalent, to all grant funded </w:t>
      </w:r>
      <w:r w:rsidRPr="003C7939">
        <w:rPr>
          <w:rFonts w:ascii="Gentium Basic" w:eastAsia="Times New Roman" w:hAnsi="Gentium Basic" w:cs="Arial"/>
          <w:i/>
          <w:iCs/>
          <w:color w:val="333333"/>
          <w:sz w:val="24"/>
          <w:szCs w:val="24"/>
          <w:bdr w:val="none" w:sz="0" w:space="0" w:color="auto" w:frame="1"/>
          <w:lang w:eastAsia="en-GB"/>
        </w:rPr>
        <w:t>Digital Outputs</w:t>
      </w:r>
      <w:r w:rsidRPr="003C7939">
        <w:rPr>
          <w:rFonts w:ascii="Gentium Basic" w:eastAsia="Times New Roman" w:hAnsi="Gentium Basic" w:cs="Arial"/>
          <w:color w:val="333333"/>
          <w:sz w:val="24"/>
          <w:szCs w:val="24"/>
          <w:lang w:eastAsia="en-GB"/>
        </w:rPr>
        <w:t>, with the exception of code and metadata, and not including public domain assets or non-original digital reproductions of public domain assets (see below).</w:t>
      </w:r>
    </w:p>
    <w:p w14:paraId="4A0D9992" w14:textId="77777777" w:rsidR="00FF4E29" w:rsidRPr="003C7939" w:rsidRDefault="00FF4E29" w:rsidP="00FF4E29">
      <w:pPr>
        <w:shd w:val="clear" w:color="auto" w:fill="FFFFFF"/>
        <w:spacing w:after="0" w:line="240" w:lineRule="auto"/>
        <w:rPr>
          <w:rFonts w:ascii="Gentium Basic" w:eastAsia="Times New Roman" w:hAnsi="Gentium Basic" w:cs="Arial"/>
          <w:color w:val="333333"/>
          <w:sz w:val="24"/>
          <w:szCs w:val="24"/>
          <w:lang w:eastAsia="en-GB"/>
        </w:rPr>
      </w:pPr>
    </w:p>
    <w:p w14:paraId="5CBC4947" w14:textId="77777777" w:rsidR="0096708C" w:rsidRPr="003C7939" w:rsidRDefault="0096708C" w:rsidP="0096708C">
      <w:pPr>
        <w:numPr>
          <w:ilvl w:val="0"/>
          <w:numId w:val="1"/>
        </w:numPr>
        <w:shd w:val="clear" w:color="auto" w:fill="FFFFFF"/>
        <w:spacing w:after="0"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lastRenderedPageBreak/>
        <w:t>clearly identify and apply Creative Commons 0 1.0 Universal (</w:t>
      </w:r>
      <w:hyperlink r:id="rId12" w:history="1">
        <w:r w:rsidRPr="003C7939">
          <w:rPr>
            <w:rFonts w:ascii="Gentium Basic" w:eastAsia="Times New Roman" w:hAnsi="Gentium Basic" w:cs="Arial"/>
            <w:color w:val="025F72"/>
            <w:sz w:val="24"/>
            <w:szCs w:val="24"/>
            <w:bdr w:val="none" w:sz="0" w:space="0" w:color="auto" w:frame="1"/>
            <w:lang w:eastAsia="en-GB"/>
          </w:rPr>
          <w:t>CC0 1.0</w:t>
        </w:r>
      </w:hyperlink>
      <w:r w:rsidRPr="003C7939">
        <w:rPr>
          <w:rFonts w:ascii="Gentium Basic" w:eastAsia="Times New Roman" w:hAnsi="Gentium Basic" w:cs="Arial"/>
          <w:color w:val="333333"/>
          <w:sz w:val="24"/>
          <w:szCs w:val="24"/>
          <w:lang w:eastAsia="en-GB"/>
        </w:rPr>
        <w:t>) Public Domain Dedication, or equivalent to:</w:t>
      </w:r>
    </w:p>
    <w:p w14:paraId="3E541D62" w14:textId="77777777" w:rsidR="0096708C" w:rsidRPr="003C7939" w:rsidRDefault="0096708C" w:rsidP="0096708C">
      <w:pPr>
        <w:numPr>
          <w:ilvl w:val="1"/>
          <w:numId w:val="1"/>
        </w:numPr>
        <w:shd w:val="clear" w:color="auto" w:fill="FFFFFF"/>
        <w:spacing w:before="225" w:after="225"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 xml:space="preserve">code and metadata created </w:t>
      </w:r>
      <w:proofErr w:type="gramStart"/>
      <w:r w:rsidRPr="003C7939">
        <w:rPr>
          <w:rFonts w:ascii="Gentium Basic" w:eastAsia="Times New Roman" w:hAnsi="Gentium Basic" w:cs="Arial"/>
          <w:color w:val="333333"/>
          <w:sz w:val="24"/>
          <w:szCs w:val="24"/>
          <w:lang w:eastAsia="en-GB"/>
        </w:rPr>
        <w:t>in the course of</w:t>
      </w:r>
      <w:proofErr w:type="gramEnd"/>
      <w:r w:rsidRPr="003C7939">
        <w:rPr>
          <w:rFonts w:ascii="Gentium Basic" w:eastAsia="Times New Roman" w:hAnsi="Gentium Basic" w:cs="Arial"/>
          <w:color w:val="333333"/>
          <w:sz w:val="24"/>
          <w:szCs w:val="24"/>
          <w:lang w:eastAsia="en-GB"/>
        </w:rPr>
        <w:t xml:space="preserve"> the project; and</w:t>
      </w:r>
    </w:p>
    <w:p w14:paraId="3BF8045B" w14:textId="77777777" w:rsidR="0096708C" w:rsidRPr="003C7939" w:rsidRDefault="0096708C" w:rsidP="0096708C">
      <w:pPr>
        <w:numPr>
          <w:ilvl w:val="1"/>
          <w:numId w:val="1"/>
        </w:numPr>
        <w:shd w:val="clear" w:color="auto" w:fill="FFFFFF"/>
        <w:spacing w:before="225" w:after="225"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Public domain assets or non-original digital reproductions of public domain assets</w:t>
      </w:r>
    </w:p>
    <w:p w14:paraId="34CBE309" w14:textId="77777777" w:rsidR="0096708C" w:rsidRPr="003C7939" w:rsidRDefault="0096708C" w:rsidP="0096708C">
      <w:pPr>
        <w:numPr>
          <w:ilvl w:val="0"/>
          <w:numId w:val="1"/>
        </w:numPr>
        <w:shd w:val="clear" w:color="auto" w:fill="FFFFFF"/>
        <w:spacing w:before="225" w:after="225"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obtain and maintain in force all authorisations of any kind required for you to apply the relevant Open Licence or Public Domain Dedication (CC BY 4.0 or CC0 1.0).</w:t>
      </w:r>
    </w:p>
    <w:p w14:paraId="0CD1B128" w14:textId="06C94D7C" w:rsidR="0096708C" w:rsidRPr="003C7939" w:rsidRDefault="0096708C" w:rsidP="0096708C">
      <w:pPr>
        <w:numPr>
          <w:ilvl w:val="0"/>
          <w:numId w:val="1"/>
        </w:numPr>
        <w:shd w:val="clear" w:color="auto" w:fill="FFFFFF"/>
        <w:spacing w:after="0"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contract to the effect that any creation by you or on your behalf of material which forms </w:t>
      </w:r>
      <w:r w:rsidRPr="003C7939">
        <w:rPr>
          <w:rFonts w:ascii="Gentium Basic" w:eastAsia="Times New Roman" w:hAnsi="Gentium Basic" w:cs="Arial"/>
          <w:i/>
          <w:iCs/>
          <w:color w:val="333333"/>
          <w:sz w:val="24"/>
          <w:szCs w:val="24"/>
          <w:bdr w:val="none" w:sz="0" w:space="0" w:color="auto" w:frame="1"/>
          <w:lang w:eastAsia="en-GB"/>
        </w:rPr>
        <w:t>Digital Outputs</w:t>
      </w:r>
      <w:r w:rsidRPr="003C7939">
        <w:rPr>
          <w:rFonts w:ascii="Gentium Basic" w:eastAsia="Times New Roman" w:hAnsi="Gentium Basic" w:cs="Arial"/>
          <w:color w:val="333333"/>
          <w:sz w:val="24"/>
          <w:szCs w:val="24"/>
          <w:lang w:eastAsia="en-GB"/>
        </w:rPr>
        <w:t> is undertaken on terms that either the copyright in the digital material is assigned to you or that the copyright owner agrees that material may be shared under a CC BY 4.0 </w:t>
      </w:r>
      <w:r w:rsidRPr="003C7939">
        <w:rPr>
          <w:rFonts w:ascii="Gentium Basic" w:eastAsia="Times New Roman" w:hAnsi="Gentium Basic" w:cs="Arial"/>
          <w:i/>
          <w:iCs/>
          <w:color w:val="333333"/>
          <w:sz w:val="24"/>
          <w:szCs w:val="24"/>
          <w:bdr w:val="none" w:sz="0" w:space="0" w:color="auto" w:frame="1"/>
          <w:lang w:eastAsia="en-GB"/>
        </w:rPr>
        <w:t>Open Licence</w:t>
      </w:r>
      <w:r w:rsidRPr="003C7939">
        <w:rPr>
          <w:rFonts w:ascii="Gentium Basic" w:eastAsia="Times New Roman" w:hAnsi="Gentium Basic" w:cs="Arial"/>
          <w:color w:val="333333"/>
          <w:sz w:val="24"/>
          <w:szCs w:val="24"/>
          <w:lang w:eastAsia="en-GB"/>
        </w:rPr>
        <w:t> or equivalent</w:t>
      </w:r>
      <w:proofErr w:type="gramStart"/>
      <w:r w:rsidRPr="003C7939">
        <w:rPr>
          <w:rFonts w:ascii="Gentium Basic" w:eastAsia="Times New Roman" w:hAnsi="Gentium Basic" w:cs="Arial"/>
          <w:color w:val="333333"/>
          <w:sz w:val="24"/>
          <w:szCs w:val="24"/>
          <w:lang w:eastAsia="en-GB"/>
        </w:rPr>
        <w:t>.;</w:t>
      </w:r>
      <w:proofErr w:type="gramEnd"/>
    </w:p>
    <w:p w14:paraId="73AE408C" w14:textId="77777777" w:rsidR="00FF4E29" w:rsidRPr="003C7939" w:rsidRDefault="00FF4E29" w:rsidP="00FF4E29">
      <w:pPr>
        <w:shd w:val="clear" w:color="auto" w:fill="FFFFFF"/>
        <w:spacing w:after="0" w:line="240" w:lineRule="auto"/>
        <w:rPr>
          <w:rFonts w:ascii="Gentium Basic" w:eastAsia="Times New Roman" w:hAnsi="Gentium Basic" w:cs="Arial"/>
          <w:color w:val="333333"/>
          <w:sz w:val="24"/>
          <w:szCs w:val="24"/>
          <w:lang w:eastAsia="en-GB"/>
        </w:rPr>
      </w:pPr>
    </w:p>
    <w:p w14:paraId="6385F9AF" w14:textId="7EEF2507" w:rsidR="0096708C" w:rsidRPr="003C7939" w:rsidRDefault="0096708C" w:rsidP="0096708C">
      <w:pPr>
        <w:numPr>
          <w:ilvl w:val="0"/>
          <w:numId w:val="1"/>
        </w:numPr>
        <w:shd w:val="clear" w:color="auto" w:fill="FFFFFF"/>
        <w:spacing w:after="0"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ensure that the </w:t>
      </w:r>
      <w:r w:rsidRPr="003C7939">
        <w:rPr>
          <w:rFonts w:ascii="Gentium Basic" w:eastAsia="Times New Roman" w:hAnsi="Gentium Basic" w:cs="Arial"/>
          <w:i/>
          <w:iCs/>
          <w:color w:val="333333"/>
          <w:sz w:val="24"/>
          <w:szCs w:val="24"/>
          <w:bdr w:val="none" w:sz="0" w:space="0" w:color="auto" w:frame="1"/>
          <w:lang w:eastAsia="en-GB"/>
        </w:rPr>
        <w:t>Digital Outputs </w:t>
      </w:r>
      <w:r w:rsidRPr="003C7939">
        <w:rPr>
          <w:rFonts w:ascii="Gentium Basic" w:eastAsia="Times New Roman" w:hAnsi="Gentium Basic" w:cs="Arial"/>
          <w:color w:val="333333"/>
          <w:sz w:val="24"/>
          <w:szCs w:val="24"/>
          <w:lang w:eastAsia="en-GB"/>
        </w:rPr>
        <w:t>are kept up-to-date, function as intended and do not become obsolete before the fifth anniversary of the </w:t>
      </w:r>
      <w:r w:rsidRPr="003C7939">
        <w:rPr>
          <w:rFonts w:ascii="Gentium Basic" w:eastAsia="Times New Roman" w:hAnsi="Gentium Basic" w:cs="Arial"/>
          <w:i/>
          <w:iCs/>
          <w:color w:val="333333"/>
          <w:sz w:val="24"/>
          <w:szCs w:val="24"/>
          <w:bdr w:val="none" w:sz="0" w:space="0" w:color="auto" w:frame="1"/>
          <w:lang w:eastAsia="en-GB"/>
        </w:rPr>
        <w:t>Project</w:t>
      </w:r>
      <w:r w:rsidRPr="003C7939">
        <w:rPr>
          <w:rFonts w:ascii="Gentium Basic" w:eastAsia="Times New Roman" w:hAnsi="Gentium Basic" w:cs="Arial"/>
          <w:color w:val="333333"/>
          <w:sz w:val="24"/>
          <w:szCs w:val="24"/>
          <w:lang w:eastAsia="en-GB"/>
        </w:rPr>
        <w:t> </w:t>
      </w:r>
      <w:r w:rsidRPr="003C7939">
        <w:rPr>
          <w:rFonts w:ascii="Gentium Basic" w:eastAsia="Times New Roman" w:hAnsi="Gentium Basic" w:cs="Arial"/>
          <w:i/>
          <w:iCs/>
          <w:color w:val="333333"/>
          <w:sz w:val="24"/>
          <w:szCs w:val="24"/>
          <w:bdr w:val="none" w:sz="0" w:space="0" w:color="auto" w:frame="1"/>
          <w:lang w:eastAsia="en-GB"/>
        </w:rPr>
        <w:t xml:space="preserve">Completion </w:t>
      </w:r>
      <w:proofErr w:type="gramStart"/>
      <w:r w:rsidRPr="003C7939">
        <w:rPr>
          <w:rFonts w:ascii="Gentium Basic" w:eastAsia="Times New Roman" w:hAnsi="Gentium Basic" w:cs="Arial"/>
          <w:i/>
          <w:iCs/>
          <w:color w:val="333333"/>
          <w:sz w:val="24"/>
          <w:szCs w:val="24"/>
          <w:bdr w:val="none" w:sz="0" w:space="0" w:color="auto" w:frame="1"/>
          <w:lang w:eastAsia="en-GB"/>
        </w:rPr>
        <w:t>Date</w:t>
      </w:r>
      <w:r w:rsidRPr="003C7939">
        <w:rPr>
          <w:rFonts w:ascii="Gentium Basic" w:eastAsia="Times New Roman" w:hAnsi="Gentium Basic" w:cs="Arial"/>
          <w:color w:val="333333"/>
          <w:sz w:val="24"/>
          <w:szCs w:val="24"/>
          <w:lang w:eastAsia="en-GB"/>
        </w:rPr>
        <w:t>;</w:t>
      </w:r>
      <w:proofErr w:type="gramEnd"/>
    </w:p>
    <w:p w14:paraId="376C8C95" w14:textId="77777777" w:rsidR="00FF4E29" w:rsidRPr="003C7939" w:rsidRDefault="00FF4E29" w:rsidP="00FF4E29">
      <w:pPr>
        <w:shd w:val="clear" w:color="auto" w:fill="FFFFFF"/>
        <w:spacing w:after="0" w:line="240" w:lineRule="auto"/>
        <w:rPr>
          <w:rFonts w:ascii="Gentium Basic" w:eastAsia="Times New Roman" w:hAnsi="Gentium Basic" w:cs="Arial"/>
          <w:color w:val="333333"/>
          <w:sz w:val="24"/>
          <w:szCs w:val="24"/>
          <w:lang w:eastAsia="en-GB"/>
        </w:rPr>
      </w:pPr>
    </w:p>
    <w:p w14:paraId="25C8AA95" w14:textId="6863F564" w:rsidR="0096708C" w:rsidRPr="003C7939" w:rsidRDefault="0096708C" w:rsidP="0096708C">
      <w:pPr>
        <w:numPr>
          <w:ilvl w:val="0"/>
          <w:numId w:val="1"/>
        </w:numPr>
        <w:shd w:val="clear" w:color="auto" w:fill="FFFFFF"/>
        <w:spacing w:after="0" w:line="240" w:lineRule="auto"/>
        <w:ind w:left="0"/>
        <w:rPr>
          <w:rFonts w:ascii="Gentium Basic" w:eastAsia="Times New Roman" w:hAnsi="Gentium Basic" w:cs="Arial"/>
          <w:color w:val="333333"/>
          <w:sz w:val="24"/>
          <w:szCs w:val="24"/>
          <w:lang w:eastAsia="en-GB"/>
        </w:rPr>
      </w:pPr>
      <w:r w:rsidRPr="003C7939">
        <w:rPr>
          <w:rFonts w:ascii="Gentium Basic" w:eastAsia="Times New Roman" w:hAnsi="Gentium Basic" w:cs="Arial"/>
          <w:color w:val="333333"/>
          <w:sz w:val="24"/>
          <w:szCs w:val="24"/>
          <w:lang w:eastAsia="en-GB"/>
        </w:rPr>
        <w:t>comply with these </w:t>
      </w:r>
      <w:r w:rsidRPr="003C7939">
        <w:rPr>
          <w:rFonts w:ascii="Gentium Basic" w:eastAsia="Times New Roman" w:hAnsi="Gentium Basic" w:cs="Arial"/>
          <w:i/>
          <w:iCs/>
          <w:color w:val="333333"/>
          <w:sz w:val="24"/>
          <w:szCs w:val="24"/>
          <w:bdr w:val="none" w:sz="0" w:space="0" w:color="auto" w:frame="1"/>
          <w:lang w:eastAsia="en-GB"/>
        </w:rPr>
        <w:t>Standard Terms of Grant</w:t>
      </w:r>
      <w:r w:rsidRPr="003C7939">
        <w:rPr>
          <w:rFonts w:ascii="Gentium Basic" w:eastAsia="Times New Roman" w:hAnsi="Gentium Basic" w:cs="Arial"/>
          <w:color w:val="333333"/>
          <w:sz w:val="24"/>
          <w:szCs w:val="24"/>
          <w:lang w:eastAsia="en-GB"/>
        </w:rPr>
        <w:t> in relation to the digital files that make up the </w:t>
      </w:r>
      <w:r w:rsidRPr="003C7939">
        <w:rPr>
          <w:rFonts w:ascii="Gentium Basic" w:eastAsia="Times New Roman" w:hAnsi="Gentium Basic" w:cs="Arial"/>
          <w:i/>
          <w:iCs/>
          <w:color w:val="333333"/>
          <w:sz w:val="24"/>
          <w:szCs w:val="24"/>
          <w:bdr w:val="none" w:sz="0" w:space="0" w:color="auto" w:frame="1"/>
          <w:lang w:eastAsia="en-GB"/>
        </w:rPr>
        <w:t>Digital Outputs</w:t>
      </w:r>
      <w:r w:rsidRPr="003C7939">
        <w:rPr>
          <w:rFonts w:ascii="Gentium Basic" w:eastAsia="Times New Roman" w:hAnsi="Gentium Basic" w:cs="Arial"/>
          <w:color w:val="333333"/>
          <w:sz w:val="24"/>
          <w:szCs w:val="24"/>
          <w:lang w:eastAsia="en-GB"/>
        </w:rPr>
        <w:t> for the period agreed in the </w:t>
      </w:r>
      <w:r w:rsidRPr="003C7939">
        <w:rPr>
          <w:rFonts w:ascii="Gentium Basic" w:eastAsia="Times New Roman" w:hAnsi="Gentium Basic" w:cs="Arial"/>
          <w:i/>
          <w:iCs/>
          <w:color w:val="333333"/>
          <w:sz w:val="24"/>
          <w:szCs w:val="24"/>
          <w:bdr w:val="none" w:sz="0" w:space="0" w:color="auto" w:frame="1"/>
          <w:lang w:eastAsia="en-GB"/>
        </w:rPr>
        <w:t>Grant Notification Letter</w:t>
      </w:r>
      <w:r w:rsidRPr="003C7939">
        <w:rPr>
          <w:rFonts w:ascii="Gentium Basic" w:eastAsia="Times New Roman" w:hAnsi="Gentium Basic" w:cs="Arial"/>
          <w:color w:val="333333"/>
          <w:sz w:val="24"/>
          <w:szCs w:val="24"/>
          <w:lang w:eastAsia="en-GB"/>
        </w:rPr>
        <w:t>. For the avoidance of doubt, this includes ensuring free and unfettered online access to the </w:t>
      </w:r>
      <w:r w:rsidRPr="003C7939">
        <w:rPr>
          <w:rFonts w:ascii="Gentium Basic" w:eastAsia="Times New Roman" w:hAnsi="Gentium Basic" w:cs="Arial"/>
          <w:i/>
          <w:iCs/>
          <w:color w:val="333333"/>
          <w:sz w:val="24"/>
          <w:szCs w:val="24"/>
          <w:bdr w:val="none" w:sz="0" w:space="0" w:color="auto" w:frame="1"/>
          <w:lang w:eastAsia="en-GB"/>
        </w:rPr>
        <w:t>Digital Outputs.</w:t>
      </w:r>
      <w:r w:rsidRPr="003C7939">
        <w:rPr>
          <w:rFonts w:ascii="Gentium Basic" w:eastAsia="Times New Roman" w:hAnsi="Gentium Basic" w:cs="Arial"/>
          <w:color w:val="333333"/>
          <w:sz w:val="24"/>
          <w:szCs w:val="24"/>
          <w:lang w:eastAsia="en-GB"/>
        </w:rPr>
        <w:t> You must not release your project’s Digital Outputs on other terms without our prior written consent.</w:t>
      </w:r>
    </w:p>
    <w:p w14:paraId="5DC9F6C9" w14:textId="280D67B8" w:rsidR="00FF4E29" w:rsidRPr="003C7939" w:rsidRDefault="00FF4E29" w:rsidP="00FF4E29">
      <w:pPr>
        <w:shd w:val="clear" w:color="auto" w:fill="FFFFFF"/>
        <w:spacing w:after="0" w:line="240" w:lineRule="auto"/>
        <w:rPr>
          <w:rFonts w:ascii="Gentium Basic" w:eastAsia="Times New Roman" w:hAnsi="Gentium Basic" w:cs="Arial"/>
          <w:color w:val="333333"/>
          <w:sz w:val="24"/>
          <w:szCs w:val="24"/>
          <w:lang w:eastAsia="en-GB"/>
        </w:rPr>
      </w:pPr>
    </w:p>
    <w:sectPr w:rsidR="00FF4E29" w:rsidRPr="003C793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338C" w14:textId="77777777" w:rsidR="002C053D" w:rsidRDefault="002C053D" w:rsidP="003C7939">
      <w:pPr>
        <w:spacing w:after="0" w:line="240" w:lineRule="auto"/>
      </w:pPr>
      <w:r>
        <w:separator/>
      </w:r>
    </w:p>
  </w:endnote>
  <w:endnote w:type="continuationSeparator" w:id="0">
    <w:p w14:paraId="587ADE1E" w14:textId="77777777" w:rsidR="002C053D" w:rsidRDefault="002C053D" w:rsidP="003C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Basic">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095C" w14:textId="77777777" w:rsidR="002C053D" w:rsidRDefault="002C053D" w:rsidP="003C7939">
      <w:pPr>
        <w:spacing w:after="0" w:line="240" w:lineRule="auto"/>
      </w:pPr>
      <w:r>
        <w:separator/>
      </w:r>
    </w:p>
  </w:footnote>
  <w:footnote w:type="continuationSeparator" w:id="0">
    <w:p w14:paraId="461ABE65" w14:textId="77777777" w:rsidR="002C053D" w:rsidRDefault="002C053D" w:rsidP="003C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999" w14:textId="34D86A34" w:rsidR="003C7939" w:rsidRDefault="003C7939">
    <w:pPr>
      <w:pStyle w:val="Header"/>
    </w:pPr>
    <w:r>
      <w:rPr>
        <w:noProof/>
      </w:rPr>
      <w:drawing>
        <wp:anchor distT="0" distB="0" distL="114300" distR="114300" simplePos="0" relativeHeight="251661312" behindDoc="1" locked="0" layoutInCell="1" allowOverlap="1" wp14:anchorId="7E9A6410" wp14:editId="6D6F2DEC">
          <wp:simplePos x="0" y="0"/>
          <wp:positionH relativeFrom="margin">
            <wp:align>right</wp:align>
          </wp:positionH>
          <wp:positionV relativeFrom="paragraph">
            <wp:posOffset>-309880</wp:posOffset>
          </wp:positionV>
          <wp:extent cx="1478915" cy="563245"/>
          <wp:effectExtent l="0" t="0" r="6985" b="8255"/>
          <wp:wrapTight wrapText="bothSides">
            <wp:wrapPolygon edited="0">
              <wp:start x="0" y="0"/>
              <wp:lineTo x="0" y="21186"/>
              <wp:lineTo x="21424" y="21186"/>
              <wp:lineTo x="21424" y="0"/>
              <wp:lineTo x="0" y="0"/>
            </wp:wrapPolygon>
          </wp:wrapTight>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5632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FC5E023" wp14:editId="4363C37A">
          <wp:simplePos x="0" y="0"/>
          <wp:positionH relativeFrom="margin">
            <wp:align>left</wp:align>
          </wp:positionH>
          <wp:positionV relativeFrom="paragraph">
            <wp:posOffset>-282575</wp:posOffset>
          </wp:positionV>
          <wp:extent cx="1543050" cy="565785"/>
          <wp:effectExtent l="0" t="0" r="0" b="5715"/>
          <wp:wrapTight wrapText="bothSides">
            <wp:wrapPolygon edited="0">
              <wp:start x="0" y="0"/>
              <wp:lineTo x="0" y="21091"/>
              <wp:lineTo x="21333" y="21091"/>
              <wp:lineTo x="21333" y="0"/>
              <wp:lineTo x="0" y="0"/>
            </wp:wrapPolygon>
          </wp:wrapTight>
          <wp:docPr id="10" name="Picture 7"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A blue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65785"/>
                  </a:xfrm>
                  <a:prstGeom prst="rect">
                    <a:avLst/>
                  </a:prstGeom>
                  <a:noFill/>
                </pic:spPr>
              </pic:pic>
            </a:graphicData>
          </a:graphic>
          <wp14:sizeRelH relativeFrom="page">
            <wp14:pctWidth>0</wp14:pctWidth>
          </wp14:sizeRelH>
          <wp14:sizeRelV relativeFrom="page">
            <wp14:pctHeight>0</wp14:pctHeight>
          </wp14:sizeRelV>
        </wp:anchor>
      </w:drawing>
    </w:r>
  </w:p>
  <w:p w14:paraId="5E4ED979" w14:textId="799A7070" w:rsidR="003C7939" w:rsidRDefault="003C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D98"/>
    <w:multiLevelType w:val="hybridMultilevel"/>
    <w:tmpl w:val="7BB2C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F950110"/>
    <w:multiLevelType w:val="multilevel"/>
    <w:tmpl w:val="C2AA7B40"/>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 w15:restartNumberingAfterBreak="0">
    <w:nsid w:val="489A77A1"/>
    <w:multiLevelType w:val="multilevel"/>
    <w:tmpl w:val="546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276307"/>
    <w:multiLevelType w:val="hybridMultilevel"/>
    <w:tmpl w:val="6B1C8FF0"/>
    <w:lvl w:ilvl="0" w:tplc="25801D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762362">
    <w:abstractNumId w:val="1"/>
  </w:num>
  <w:num w:numId="2" w16cid:durableId="398359952">
    <w:abstractNumId w:val="2"/>
  </w:num>
  <w:num w:numId="3" w16cid:durableId="957301155">
    <w:abstractNumId w:val="3"/>
  </w:num>
  <w:num w:numId="4" w16cid:durableId="65950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C"/>
    <w:rsid w:val="002C053D"/>
    <w:rsid w:val="003C7939"/>
    <w:rsid w:val="00890970"/>
    <w:rsid w:val="0096708C"/>
    <w:rsid w:val="00FF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04E8"/>
  <w15:chartTrackingRefBased/>
  <w15:docId w15:val="{0F6FCE7B-8D7F-4718-8029-6D113BF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8C"/>
    <w:pPr>
      <w:ind w:left="720"/>
      <w:contextualSpacing/>
    </w:pPr>
  </w:style>
  <w:style w:type="paragraph" w:styleId="Header">
    <w:name w:val="header"/>
    <w:basedOn w:val="Normal"/>
    <w:link w:val="HeaderChar"/>
    <w:uiPriority w:val="99"/>
    <w:unhideWhenUsed/>
    <w:rsid w:val="003C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39"/>
  </w:style>
  <w:style w:type="paragraph" w:styleId="Footer">
    <w:name w:val="footer"/>
    <w:basedOn w:val="Normal"/>
    <w:link w:val="FooterChar"/>
    <w:uiPriority w:val="99"/>
    <w:unhideWhenUsed/>
    <w:rsid w:val="003C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publicdomain/zero/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D1AC5-B47A-4F46-9F05-BF1A93372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6CACA-2799-40D4-B59C-B8F7BD57E74E}">
  <ds:schemaRefs>
    <ds:schemaRef ds:uri="http://schemas.openxmlformats.org/officeDocument/2006/bibliography"/>
  </ds:schemaRefs>
</ds:datastoreItem>
</file>

<file path=customXml/itemProps3.xml><?xml version="1.0" encoding="utf-8"?>
<ds:datastoreItem xmlns:ds="http://schemas.openxmlformats.org/officeDocument/2006/customXml" ds:itemID="{6E37B69F-AE17-44B7-B230-8BA7D9F77C59}">
  <ds:schemaRefs>
    <ds:schemaRef ds:uri="http://schemas.microsoft.com/sharepoint/v3/contenttype/forms"/>
  </ds:schemaRefs>
</ds:datastoreItem>
</file>

<file path=customXml/itemProps4.xml><?xml version="1.0" encoding="utf-8"?>
<ds:datastoreItem xmlns:ds="http://schemas.openxmlformats.org/officeDocument/2006/customXml" ds:itemID="{A9ECE022-EB7C-4706-ADA5-620B2C80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Harrison</dc:creator>
  <cp:keywords/>
  <dc:description/>
  <cp:lastModifiedBy>Catrin Salvatore</cp:lastModifiedBy>
  <cp:revision>2</cp:revision>
  <dcterms:created xsi:type="dcterms:W3CDTF">2020-09-25T13:56:00Z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